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57" w:rightChars="-27"/>
        <w:jc w:val="center"/>
        <w:rPr>
          <w:rFonts w:hint="default" w:ascii="Times New Roman" w:hAnsi="Times New Roman" w:eastAsia="宋体"/>
          <w:b/>
          <w:bCs/>
          <w:szCs w:val="21"/>
          <w:highlight w:val="yellow"/>
          <w:lang w:val="en-US" w:eastAsia="zh-CN"/>
        </w:rPr>
      </w:pPr>
      <w:r>
        <w:rPr>
          <w:rFonts w:ascii="Times New Roman" w:hAnsi="Times New Roman"/>
          <w:b/>
          <w:bCs/>
          <w:szCs w:val="21"/>
        </w:rPr>
        <w:t>证券代码：001289        证券简称：</w:t>
      </w:r>
      <w:r>
        <w:rPr>
          <w:rFonts w:hint="eastAsia" w:ascii="Times New Roman" w:hAnsi="Times New Roman"/>
          <w:b/>
          <w:bCs/>
          <w:szCs w:val="21"/>
        </w:rPr>
        <w:t>龙源电力</w:t>
      </w:r>
      <w:r>
        <w:rPr>
          <w:rFonts w:ascii="Times New Roman" w:hAnsi="Times New Roman"/>
          <w:b/>
          <w:bCs/>
          <w:szCs w:val="21"/>
        </w:rPr>
        <w:t xml:space="preserve">        公告编号：</w:t>
      </w:r>
      <w:r>
        <w:rPr>
          <w:rFonts w:hint="eastAsia" w:ascii="Times New Roman" w:hAnsi="Times New Roman"/>
          <w:b/>
          <w:bCs/>
          <w:szCs w:val="21"/>
          <w:highlight w:val="none"/>
        </w:rPr>
        <w:t>202</w:t>
      </w:r>
      <w:r>
        <w:rPr>
          <w:rFonts w:ascii="Times New Roman" w:hAnsi="Times New Roman"/>
          <w:b/>
          <w:bCs/>
          <w:szCs w:val="21"/>
          <w:highlight w:val="none"/>
        </w:rPr>
        <w:t>2</w:t>
      </w:r>
      <w:r>
        <w:rPr>
          <w:rFonts w:hint="eastAsia" w:ascii="Times New Roman" w:hAnsi="Times New Roman"/>
          <w:b/>
          <w:bCs/>
          <w:szCs w:val="21"/>
          <w:highlight w:val="none"/>
        </w:rPr>
        <w:t>-0</w:t>
      </w:r>
      <w:r>
        <w:rPr>
          <w:rFonts w:hint="eastAsia" w:ascii="Times New Roman" w:hAnsi="Times New Roman"/>
          <w:b/>
          <w:bCs/>
          <w:szCs w:val="21"/>
          <w:highlight w:val="none"/>
          <w:lang w:val="en-US" w:eastAsia="zh-CN"/>
        </w:rPr>
        <w:t>32</w:t>
      </w:r>
    </w:p>
    <w:p>
      <w:pPr>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龙源电力集团股份有限公司</w:t>
      </w:r>
    </w:p>
    <w:p>
      <w:pPr>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mc:AlternateContent>
          <mc:Choice Requires="wps">
            <w:drawing>
              <wp:anchor distT="0" distB="0" distL="0" distR="0" simplePos="0" relativeHeight="251659264" behindDoc="0" locked="0" layoutInCell="1" allowOverlap="1">
                <wp:simplePos x="0" y="0"/>
                <wp:positionH relativeFrom="column">
                  <wp:posOffset>-94615</wp:posOffset>
                </wp:positionH>
                <wp:positionV relativeFrom="paragraph">
                  <wp:posOffset>502285</wp:posOffset>
                </wp:positionV>
                <wp:extent cx="5429250" cy="676275"/>
                <wp:effectExtent l="0" t="0" r="19050" b="28575"/>
                <wp:wrapNone/>
                <wp:docPr id="1026" name="矩形 22"/>
                <wp:cNvGraphicFramePr/>
                <a:graphic xmlns:a="http://schemas.openxmlformats.org/drawingml/2006/main">
                  <a:graphicData uri="http://schemas.microsoft.com/office/word/2010/wordprocessingShape">
                    <wps:wsp>
                      <wps:cNvSpPr/>
                      <wps:spPr>
                        <a:xfrm>
                          <a:off x="0" y="0"/>
                          <a:ext cx="5429250" cy="676275"/>
                        </a:xfrm>
                        <a:prstGeom prst="rect">
                          <a:avLst/>
                        </a:prstGeom>
                        <a:solidFill>
                          <a:srgbClr val="FFFFFF"/>
                        </a:solidFill>
                        <a:ln w="9525" cap="flat" cmpd="sng">
                          <a:solidFill>
                            <a:srgbClr val="000000"/>
                          </a:solidFill>
                          <a:prstDash val="solid"/>
                          <a:miter/>
                        </a:ln>
                      </wps:spPr>
                      <wps:txbx>
                        <w:txbxContent>
                          <w:p>
                            <w:pPr>
                              <w:adjustRightInd w:val="0"/>
                              <w:snapToGrid w:val="0"/>
                              <w:spacing w:line="360" w:lineRule="auto"/>
                              <w:ind w:firstLine="422" w:firstLineChars="200"/>
                              <w:rPr>
                                <w:b/>
                                <w:szCs w:val="21"/>
                              </w:rPr>
                            </w:pPr>
                            <w:r>
                              <w:rPr>
                                <w:rFonts w:hint="eastAsia"/>
                                <w:b/>
                                <w:szCs w:val="21"/>
                              </w:rPr>
                              <w:t>本公司及董事会全体成员保证信息披露内容真实、准确和完整，没有虚假记载、误导性陈述或者重大遗漏。</w:t>
                            </w:r>
                          </w:p>
                        </w:txbxContent>
                      </wps:txbx>
                      <wps:bodyPr vert="horz" wrap="square" lIns="91440" tIns="45720" rIns="91440" bIns="45720" anchor="ctr" upright="1">
                        <a:noAutofit/>
                      </wps:bodyPr>
                    </wps:wsp>
                  </a:graphicData>
                </a:graphic>
              </wp:anchor>
            </w:drawing>
          </mc:Choice>
          <mc:Fallback>
            <w:pict>
              <v:rect id="矩形 22" o:spid="_x0000_s1026" o:spt="1" style="position:absolute;left:0pt;margin-left:-7.45pt;margin-top:39.55pt;height:53.25pt;width:427.5pt;z-index:251659264;v-text-anchor:middle;mso-width-relative:page;mso-height-relative:page;" fillcolor="#FFFFFF" filled="t" stroked="t" coordsize="21600,21600" o:gfxdata="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&#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Na7Z3aAAAACgEAAA8AAAAAAAAAAQAgAAAAIgAAAGRy&#10;cy9kb3ducmV2LnhtbFBLAQIUABQAAAAIAIdO4kCGfX48AwIAAAAEAAAOAAAAAAAAAAEAIAAAACkB&#10;AABkcnMvZTJvRG9jLnhtbFBLBQYAAAAABgAGAFkBAACeBQAAAAA=&#10;">
                <v:fill on="t" focussize="0,0"/>
                <v:stroke color="#000000" joinstyle="miter"/>
                <v:imagedata o:title=""/>
                <o:lock v:ext="edit" aspectratio="f"/>
                <v:textbox>
                  <w:txbxContent>
                    <w:p>
                      <w:pPr>
                        <w:adjustRightInd w:val="0"/>
                        <w:snapToGrid w:val="0"/>
                        <w:spacing w:line="360" w:lineRule="auto"/>
                        <w:ind w:firstLine="422" w:firstLineChars="200"/>
                        <w:rPr>
                          <w:b/>
                          <w:szCs w:val="21"/>
                        </w:rPr>
                      </w:pPr>
                      <w:r>
                        <w:rPr>
                          <w:rFonts w:hint="eastAsia"/>
                          <w:b/>
                          <w:szCs w:val="21"/>
                        </w:rPr>
                        <w:t>本公司及董事会全体成员保证信息披露内容真实、准确和完整，没有虚假记载、误导性陈述或者重大遗漏。</w:t>
                      </w:r>
                    </w:p>
                  </w:txbxContent>
                </v:textbox>
              </v:rect>
            </w:pict>
          </mc:Fallback>
        </mc:AlternateContent>
      </w:r>
      <w:r>
        <w:rPr>
          <w:rFonts w:hint="eastAsia" w:ascii="方正小标宋简体" w:hAnsi="方正小标宋简体" w:eastAsia="方正小标宋简体" w:cs="方正小标宋简体"/>
          <w:sz w:val="28"/>
          <w:szCs w:val="28"/>
        </w:rPr>
        <w:t>关于公司202</w:t>
      </w:r>
      <w:r>
        <w:rPr>
          <w:rFonts w:ascii="方正小标宋简体" w:hAnsi="方正小标宋简体" w:eastAsia="方正小标宋简体" w:cs="方正小标宋简体"/>
          <w:sz w:val="28"/>
          <w:szCs w:val="28"/>
        </w:rPr>
        <w:t>3</w:t>
      </w:r>
      <w:r>
        <w:rPr>
          <w:rFonts w:hint="eastAsia" w:ascii="方正小标宋简体" w:hAnsi="方正小标宋简体" w:eastAsia="方正小标宋简体" w:cs="方正小标宋简体"/>
          <w:sz w:val="28"/>
          <w:szCs w:val="28"/>
        </w:rPr>
        <w:t>年第八期超短期融资券发行的公告</w:t>
      </w:r>
    </w:p>
    <w:p>
      <w:pPr>
        <w:spacing w:line="560" w:lineRule="exact"/>
        <w:rPr>
          <w:rFonts w:ascii="仿宋_GB2312" w:hAnsi="仿宋_GB2312" w:eastAsia="仿宋_GB2312" w:cs="仿宋_GB2312"/>
          <w:b/>
          <w:bCs/>
          <w:sz w:val="32"/>
          <w:szCs w:val="32"/>
        </w:rPr>
      </w:pPr>
    </w:p>
    <w:p>
      <w:pPr>
        <w:spacing w:before="156" w:beforeLines="50" w:line="360" w:lineRule="auto"/>
        <w:ind w:firstLine="482" w:firstLineChars="200"/>
        <w:rPr>
          <w:rFonts w:ascii="Times New Roman" w:hAnsi="Times New Roman"/>
          <w:b/>
          <w:bCs/>
          <w:sz w:val="24"/>
        </w:rPr>
      </w:pPr>
    </w:p>
    <w:p>
      <w:pPr>
        <w:widowControl/>
        <w:overflowPunct w:val="0"/>
        <w:spacing w:before="156" w:beforeLines="50" w:line="360" w:lineRule="auto"/>
        <w:ind w:firstLine="480" w:firstLineChars="200"/>
        <w:rPr>
          <w:rFonts w:ascii="Times New Roman" w:hAnsi="Times New Roman" w:cs="Times New Roman"/>
          <w:bCs/>
          <w:kern w:val="0"/>
          <w:sz w:val="24"/>
        </w:rPr>
      </w:pPr>
      <w:r>
        <w:rPr>
          <w:rFonts w:hint="eastAsia" w:ascii="Times New Roman" w:hAnsi="Times New Roman" w:cs="Times New Roman"/>
          <w:bCs/>
          <w:kern w:val="0"/>
          <w:sz w:val="24"/>
        </w:rPr>
        <w:t>龙源电力集团股份有限公司（以下简称“公司”）于2022年6月22日召开的2021年度股东大会审议通过了《关于龙源电力集团股份有限公司在境内申请注册及发行债务融资工具一般性授权的议案》，批准并同意授权董事会决定及处理公司以一次性或分期的形式在中国银行间市场交易商协会注册、发行不超过人民币1000亿元（含1000亿元）的债务融资工具的相关事宜，类型包括但不限于</w:t>
      </w:r>
      <w:r>
        <w:rPr>
          <w:rFonts w:hint="eastAsia" w:ascii="Times New Roman" w:hAnsi="Times New Roman" w:cs="Times New Roman"/>
          <w:bCs/>
          <w:kern w:val="0"/>
          <w:sz w:val="24"/>
          <w:lang w:val="en-US" w:eastAsia="zh-CN"/>
        </w:rPr>
        <w:t>超短期</w:t>
      </w:r>
      <w:r>
        <w:rPr>
          <w:rFonts w:hint="eastAsia" w:ascii="Times New Roman" w:hAnsi="Times New Roman" w:cs="Times New Roman"/>
          <w:bCs/>
          <w:kern w:val="0"/>
          <w:sz w:val="24"/>
        </w:rPr>
        <w:t>融资券、短期融资券、中期票据（含中长期含权票据）、永续票据、定向债务融资工具、资产支持票据、项目收益票据、权益出资型票据等在内的债务融资工具；并同意董事会转授权公司经理层处理上述相关事宜。</w:t>
      </w:r>
    </w:p>
    <w:p>
      <w:pPr>
        <w:widowControl/>
        <w:spacing w:before="156" w:beforeLines="50" w:line="360" w:lineRule="auto"/>
        <w:ind w:firstLine="480" w:firstLineChars="200"/>
        <w:rPr>
          <w:rFonts w:ascii="Times New Roman" w:hAnsi="Times New Roman" w:cs="Times New Roman"/>
          <w:bCs/>
          <w:color w:val="000000"/>
          <w:kern w:val="0"/>
          <w:sz w:val="24"/>
        </w:rPr>
      </w:pPr>
      <w:r>
        <w:rPr>
          <w:rFonts w:hint="eastAsia" w:ascii="Times New Roman" w:hAnsi="Times New Roman" w:cs="Times New Roman"/>
          <w:bCs/>
          <w:color w:val="000000"/>
          <w:kern w:val="0"/>
          <w:sz w:val="24"/>
        </w:rPr>
        <w:t>公司已于202</w:t>
      </w:r>
      <w:r>
        <w:rPr>
          <w:rFonts w:ascii="Times New Roman" w:hAnsi="Times New Roman" w:cs="Times New Roman"/>
          <w:bCs/>
          <w:color w:val="000000"/>
          <w:kern w:val="0"/>
          <w:sz w:val="24"/>
        </w:rPr>
        <w:t>3</w:t>
      </w:r>
      <w:r>
        <w:rPr>
          <w:rFonts w:hint="eastAsia" w:ascii="Times New Roman" w:hAnsi="Times New Roman" w:cs="Times New Roman"/>
          <w:bCs/>
          <w:color w:val="000000"/>
          <w:kern w:val="0"/>
          <w:sz w:val="24"/>
        </w:rPr>
        <w:t>年4月27日</w:t>
      </w:r>
      <w:r>
        <w:rPr>
          <w:rFonts w:hint="eastAsia" w:ascii="Times New Roman" w:hAnsi="Times New Roman" w:cs="Times New Roman"/>
          <w:bCs/>
          <w:color w:val="000000"/>
          <w:kern w:val="0"/>
          <w:sz w:val="24"/>
          <w:lang w:val="en-US" w:eastAsia="zh-CN"/>
        </w:rPr>
        <w:t>完成</w:t>
      </w:r>
      <w:r>
        <w:rPr>
          <w:rFonts w:hint="eastAsia" w:ascii="Times New Roman" w:hAnsi="Times New Roman" w:cs="Times New Roman"/>
          <w:bCs/>
          <w:color w:val="000000"/>
          <w:kern w:val="0"/>
          <w:sz w:val="24"/>
        </w:rPr>
        <w:t>202</w:t>
      </w:r>
      <w:r>
        <w:rPr>
          <w:rFonts w:ascii="Times New Roman" w:hAnsi="Times New Roman" w:cs="Times New Roman"/>
          <w:bCs/>
          <w:color w:val="000000"/>
          <w:kern w:val="0"/>
          <w:sz w:val="24"/>
        </w:rPr>
        <w:t>3</w:t>
      </w:r>
      <w:r>
        <w:rPr>
          <w:rFonts w:hint="eastAsia" w:ascii="Times New Roman" w:hAnsi="Times New Roman" w:cs="Times New Roman"/>
          <w:bCs/>
          <w:color w:val="000000"/>
          <w:kern w:val="0"/>
          <w:sz w:val="24"/>
        </w:rPr>
        <w:t>年度第八期超短期融资券</w:t>
      </w:r>
      <w:r>
        <w:rPr>
          <w:rFonts w:hint="eastAsia" w:ascii="Times New Roman" w:hAnsi="Times New Roman" w:cs="Times New Roman"/>
          <w:bCs/>
          <w:color w:val="000000"/>
          <w:kern w:val="0"/>
          <w:sz w:val="24"/>
          <w:lang w:val="en-US" w:eastAsia="zh-CN"/>
        </w:rPr>
        <w:t>的发行</w:t>
      </w:r>
      <w:r>
        <w:rPr>
          <w:rFonts w:hint="eastAsia" w:ascii="Times New Roman" w:hAnsi="Times New Roman" w:cs="Times New Roman"/>
          <w:bCs/>
          <w:color w:val="000000"/>
          <w:kern w:val="0"/>
          <w:sz w:val="24"/>
        </w:rPr>
        <w:t>，所募集资金将主要用于偿还公司本部及子公司有息债务</w:t>
      </w:r>
      <w:r>
        <w:rPr>
          <w:rFonts w:ascii="宋体" w:hAnsi="宋体"/>
          <w:sz w:val="24"/>
        </w:rPr>
        <w:t>及补充营运资金</w:t>
      </w:r>
      <w:r>
        <w:rPr>
          <w:rFonts w:hint="eastAsia" w:ascii="Times New Roman" w:hAnsi="Times New Roman" w:cs="Times New Roman"/>
          <w:bCs/>
          <w:color w:val="000000"/>
          <w:kern w:val="0"/>
          <w:sz w:val="24"/>
        </w:rPr>
        <w:t>等。相关发行情况如下：</w:t>
      </w:r>
      <w:bookmarkStart w:id="0" w:name="_GoBack"/>
      <w:bookmarkEnd w:id="0"/>
    </w:p>
    <w:tbl>
      <w:tblPr>
        <w:tblStyle w:val="8"/>
        <w:tblpPr w:leftFromText="180" w:rightFromText="180" w:vertAnchor="text" w:horzAnchor="page" w:tblpX="1828" w:tblpY="366"/>
        <w:tblOverlap w:val="never"/>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07"/>
        <w:gridCol w:w="1735"/>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超短期融资券全称</w:t>
            </w:r>
          </w:p>
        </w:tc>
        <w:tc>
          <w:tcPr>
            <w:tcW w:w="6846" w:type="dxa"/>
            <w:gridSpan w:val="3"/>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龙源电力集团股份有限公司202</w:t>
            </w:r>
            <w:r>
              <w:rPr>
                <w:rFonts w:ascii="Times New Roman" w:hAnsi="Times New Roman" w:cs="Times New Roman"/>
                <w:bCs/>
                <w:color w:val="000000"/>
                <w:kern w:val="0"/>
                <w:sz w:val="24"/>
              </w:rPr>
              <w:t>3</w:t>
            </w:r>
            <w:r>
              <w:rPr>
                <w:rFonts w:hint="eastAsia" w:ascii="Times New Roman" w:hAnsi="Times New Roman" w:cs="Times New Roman"/>
                <w:bCs/>
                <w:color w:val="000000"/>
                <w:kern w:val="0"/>
                <w:sz w:val="24"/>
              </w:rPr>
              <w:t>年度第八期超短期融资券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主承销商</w:t>
            </w:r>
          </w:p>
        </w:tc>
        <w:tc>
          <w:tcPr>
            <w:tcW w:w="6846" w:type="dxa"/>
            <w:gridSpan w:val="3"/>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中国建设银行股份有限公司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超短期融资券简称</w:t>
            </w:r>
          </w:p>
        </w:tc>
        <w:tc>
          <w:tcPr>
            <w:tcW w:w="2507"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2</w:t>
            </w:r>
            <w:r>
              <w:rPr>
                <w:rFonts w:ascii="Times New Roman" w:hAnsi="Times New Roman" w:cs="Times New Roman"/>
                <w:bCs/>
                <w:color w:val="000000"/>
                <w:kern w:val="0"/>
                <w:sz w:val="24"/>
              </w:rPr>
              <w:t>3</w:t>
            </w:r>
            <w:r>
              <w:rPr>
                <w:rFonts w:hint="eastAsia" w:ascii="Times New Roman" w:hAnsi="Times New Roman" w:cs="Times New Roman"/>
                <w:bCs/>
                <w:color w:val="000000"/>
                <w:kern w:val="0"/>
                <w:sz w:val="24"/>
              </w:rPr>
              <w:t>龙源电力SCP0</w:t>
            </w:r>
            <w:r>
              <w:rPr>
                <w:rFonts w:ascii="Times New Roman" w:hAnsi="Times New Roman" w:cs="Times New Roman"/>
                <w:bCs/>
                <w:color w:val="000000"/>
                <w:kern w:val="0"/>
                <w:sz w:val="24"/>
              </w:rPr>
              <w:t>0</w:t>
            </w:r>
            <w:r>
              <w:rPr>
                <w:rFonts w:hint="eastAsia" w:ascii="Times New Roman" w:hAnsi="Times New Roman" w:cs="Times New Roman"/>
                <w:bCs/>
                <w:color w:val="000000"/>
                <w:kern w:val="0"/>
                <w:sz w:val="24"/>
              </w:rPr>
              <w:t>8</w:t>
            </w:r>
          </w:p>
        </w:tc>
        <w:tc>
          <w:tcPr>
            <w:tcW w:w="1735"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期限</w:t>
            </w:r>
          </w:p>
        </w:tc>
        <w:tc>
          <w:tcPr>
            <w:tcW w:w="2604"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26天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highlight w:val="none"/>
              </w:rPr>
              <w:t>超短期融资券代码</w:t>
            </w:r>
          </w:p>
        </w:tc>
        <w:tc>
          <w:tcPr>
            <w:tcW w:w="2507"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012381798</w:t>
            </w:r>
          </w:p>
        </w:tc>
        <w:tc>
          <w:tcPr>
            <w:tcW w:w="1735"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发行日</w:t>
            </w:r>
          </w:p>
        </w:tc>
        <w:tc>
          <w:tcPr>
            <w:tcW w:w="2604"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202</w:t>
            </w:r>
            <w:r>
              <w:rPr>
                <w:rFonts w:ascii="Times New Roman" w:hAnsi="Times New Roman" w:cs="Times New Roman"/>
                <w:bCs/>
                <w:color w:val="000000"/>
                <w:kern w:val="0"/>
                <w:sz w:val="24"/>
              </w:rPr>
              <w:t>3</w:t>
            </w:r>
            <w:r>
              <w:rPr>
                <w:rFonts w:hint="eastAsia" w:ascii="Times New Roman" w:hAnsi="Times New Roman" w:cs="Times New Roman"/>
                <w:bCs/>
                <w:color w:val="000000"/>
                <w:kern w:val="0"/>
                <w:sz w:val="24"/>
              </w:rPr>
              <w:t>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起息日</w:t>
            </w:r>
          </w:p>
        </w:tc>
        <w:tc>
          <w:tcPr>
            <w:tcW w:w="2507"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202</w:t>
            </w:r>
            <w:r>
              <w:rPr>
                <w:rFonts w:ascii="Times New Roman" w:hAnsi="Times New Roman" w:cs="Times New Roman"/>
                <w:bCs/>
                <w:color w:val="000000"/>
                <w:kern w:val="0"/>
                <w:sz w:val="24"/>
              </w:rPr>
              <w:t>3</w:t>
            </w:r>
            <w:r>
              <w:rPr>
                <w:rFonts w:hint="eastAsia" w:ascii="Times New Roman" w:hAnsi="Times New Roman" w:cs="Times New Roman"/>
                <w:bCs/>
                <w:color w:val="000000"/>
                <w:kern w:val="0"/>
                <w:sz w:val="24"/>
              </w:rPr>
              <w:t>年4月28日</w:t>
            </w:r>
          </w:p>
        </w:tc>
        <w:tc>
          <w:tcPr>
            <w:tcW w:w="1735"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兑付日</w:t>
            </w:r>
          </w:p>
        </w:tc>
        <w:tc>
          <w:tcPr>
            <w:tcW w:w="2604"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2023年5月24日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计划发行总额</w:t>
            </w:r>
          </w:p>
        </w:tc>
        <w:tc>
          <w:tcPr>
            <w:tcW w:w="2507"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15亿元人民币</w:t>
            </w:r>
          </w:p>
        </w:tc>
        <w:tc>
          <w:tcPr>
            <w:tcW w:w="1735"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实际发行总额</w:t>
            </w:r>
          </w:p>
        </w:tc>
        <w:tc>
          <w:tcPr>
            <w:tcW w:w="2604"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15亿元人民币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发行价格</w:t>
            </w:r>
          </w:p>
        </w:tc>
        <w:tc>
          <w:tcPr>
            <w:tcW w:w="2507"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100元/张</w:t>
            </w:r>
          </w:p>
        </w:tc>
        <w:tc>
          <w:tcPr>
            <w:tcW w:w="1735" w:type="dxa"/>
          </w:tcPr>
          <w:p>
            <w:pPr>
              <w:widowControl/>
              <w:spacing w:before="156" w:beforeLines="50" w:line="360" w:lineRule="auto"/>
              <w:rPr>
                <w:rFonts w:ascii="Times New Roman" w:hAnsi="Times New Roman" w:cs="Times New Roman"/>
                <w:bCs/>
                <w:color w:val="000000"/>
                <w:kern w:val="0"/>
                <w:sz w:val="24"/>
              </w:rPr>
            </w:pPr>
            <w:r>
              <w:rPr>
                <w:rFonts w:hint="eastAsia" w:ascii="Times New Roman" w:hAnsi="Times New Roman" w:cs="Times New Roman"/>
                <w:bCs/>
                <w:color w:val="000000"/>
                <w:kern w:val="0"/>
                <w:sz w:val="24"/>
              </w:rPr>
              <w:t>票面利率</w:t>
            </w:r>
          </w:p>
        </w:tc>
        <w:tc>
          <w:tcPr>
            <w:tcW w:w="2604" w:type="dxa"/>
          </w:tcPr>
          <w:p>
            <w:pPr>
              <w:widowControl/>
              <w:spacing w:before="156" w:beforeLines="50" w:line="360" w:lineRule="auto"/>
              <w:rPr>
                <w:rFonts w:ascii="Times New Roman" w:hAnsi="Times New Roman" w:cs="Times New Roman"/>
                <w:bCs/>
                <w:color w:val="000000"/>
                <w:kern w:val="0"/>
                <w:sz w:val="24"/>
              </w:rPr>
            </w:pPr>
            <w:r>
              <w:rPr>
                <w:rFonts w:ascii="Times New Roman" w:hAnsi="Times New Roman" w:cs="Times New Roman"/>
                <w:bCs/>
                <w:color w:val="000000"/>
                <w:kern w:val="0"/>
                <w:sz w:val="24"/>
              </w:rPr>
              <w:t>2.1</w:t>
            </w:r>
            <w:r>
              <w:rPr>
                <w:rFonts w:hint="eastAsia" w:ascii="Times New Roman" w:hAnsi="Times New Roman" w:cs="Times New Roman"/>
                <w:bCs/>
                <w:color w:val="000000"/>
                <w:kern w:val="0"/>
                <w:sz w:val="24"/>
              </w:rPr>
              <w:t>5</w:t>
            </w:r>
            <w:r>
              <w:rPr>
                <w:rFonts w:ascii="Times New Roman" w:hAnsi="Times New Roman" w:cs="Times New Roman"/>
                <w:bCs/>
                <w:color w:val="000000"/>
                <w:kern w:val="0"/>
                <w:sz w:val="24"/>
              </w:rPr>
              <w:t>%</w:t>
            </w:r>
          </w:p>
        </w:tc>
      </w:tr>
    </w:tbl>
    <w:p>
      <w:pPr>
        <w:widowControl/>
        <w:spacing w:before="156" w:beforeLines="50" w:line="360" w:lineRule="auto"/>
        <w:ind w:firstLine="480" w:firstLineChars="200"/>
        <w:rPr>
          <w:rFonts w:ascii="Times New Roman" w:hAnsi="Times New Roman" w:cs="Times New Roman"/>
          <w:bCs/>
          <w:color w:val="000000"/>
          <w:kern w:val="0"/>
          <w:sz w:val="24"/>
        </w:rPr>
      </w:pPr>
      <w:r>
        <w:rPr>
          <w:rFonts w:hint="eastAsia" w:ascii="Times New Roman" w:hAnsi="Times New Roman" w:cs="Times New Roman"/>
          <w:bCs/>
          <w:color w:val="000000"/>
          <w:kern w:val="0"/>
          <w:sz w:val="24"/>
        </w:rPr>
        <w:t>本期发行超短期融资券的相关文件已在中国货币网（http://www.chinamoney.com.cn）和上海清算所网站（http://www.shclearing.com</w:t>
      </w:r>
      <w:r>
        <w:rPr>
          <w:rFonts w:hint="eastAsia" w:ascii="Times New Roman" w:hAnsi="Times New Roman" w:cs="Times New Roman"/>
          <w:bCs/>
          <w:color w:val="000000"/>
          <w:kern w:val="0"/>
          <w:sz w:val="24"/>
          <w:lang w:val="en-US" w:eastAsia="zh-CN"/>
        </w:rPr>
        <w:t>.cn</w:t>
      </w:r>
      <w:r>
        <w:rPr>
          <w:rFonts w:hint="eastAsia" w:ascii="Times New Roman" w:hAnsi="Times New Roman" w:cs="Times New Roman"/>
          <w:bCs/>
          <w:color w:val="000000"/>
          <w:kern w:val="0"/>
          <w:sz w:val="24"/>
        </w:rPr>
        <w:t>）上刊登。</w:t>
      </w:r>
    </w:p>
    <w:p>
      <w:pPr>
        <w:widowControl/>
        <w:spacing w:before="156" w:beforeLines="50" w:line="360" w:lineRule="auto"/>
        <w:ind w:firstLine="480" w:firstLineChars="200"/>
        <w:rPr>
          <w:rFonts w:ascii="Times New Roman" w:hAnsi="Times New Roman" w:cs="Times New Roman"/>
          <w:bCs/>
          <w:color w:val="000000"/>
          <w:kern w:val="0"/>
          <w:sz w:val="24"/>
        </w:rPr>
      </w:pPr>
      <w:r>
        <w:rPr>
          <w:rFonts w:hint="eastAsia" w:ascii="Times New Roman" w:hAnsi="Times New Roman" w:cs="Times New Roman"/>
          <w:bCs/>
          <w:color w:val="000000"/>
          <w:kern w:val="0"/>
          <w:sz w:val="24"/>
        </w:rPr>
        <w:t>特此公告。</w:t>
      </w:r>
    </w:p>
    <w:p>
      <w:pPr>
        <w:widowControl/>
        <w:spacing w:before="156" w:beforeLines="50" w:line="360" w:lineRule="auto"/>
        <w:ind w:firstLine="480" w:firstLineChars="200"/>
        <w:rPr>
          <w:rFonts w:ascii="Times New Roman" w:hAnsi="Times New Roman" w:cs="Times New Roman"/>
          <w:bCs/>
          <w:color w:val="000000"/>
          <w:kern w:val="0"/>
          <w:sz w:val="24"/>
        </w:rPr>
      </w:pPr>
    </w:p>
    <w:p>
      <w:pPr>
        <w:spacing w:line="360" w:lineRule="auto"/>
        <w:ind w:firstLine="4077" w:firstLineChars="1692"/>
        <w:jc w:val="right"/>
        <w:outlineLvl w:val="0"/>
        <w:rPr>
          <w:rFonts w:ascii="Times New Roman" w:hAnsi="Times New Roman"/>
          <w:b/>
          <w:bCs/>
        </w:rPr>
      </w:pPr>
      <w:r>
        <w:rPr>
          <w:rFonts w:hint="eastAsia" w:ascii="Times New Roman" w:hAnsi="Times New Roman"/>
          <w:b/>
          <w:bCs/>
          <w:sz w:val="24"/>
        </w:rPr>
        <w:t>龙源电力集团股份有限公司</w:t>
      </w:r>
    </w:p>
    <w:p>
      <w:pPr>
        <w:wordWrap w:val="0"/>
        <w:spacing w:line="360" w:lineRule="auto"/>
        <w:ind w:firstLine="4077" w:firstLineChars="1692"/>
        <w:jc w:val="right"/>
        <w:outlineLvl w:val="0"/>
        <w:rPr>
          <w:rFonts w:ascii="Times New Roman" w:hAnsi="Times New Roman"/>
          <w:b/>
          <w:bCs/>
        </w:rPr>
      </w:pPr>
      <w:r>
        <w:rPr>
          <w:rFonts w:ascii="Times New Roman" w:hAnsi="Times New Roman"/>
          <w:b/>
          <w:bCs/>
          <w:sz w:val="24"/>
        </w:rPr>
        <w:t xml:space="preserve">董  事  会        </w:t>
      </w:r>
    </w:p>
    <w:p>
      <w:pPr>
        <w:spacing w:before="50" w:after="50" w:line="360" w:lineRule="auto"/>
        <w:ind w:right="482"/>
        <w:jc w:val="right"/>
        <w:outlineLvl w:val="0"/>
        <w:rPr>
          <w:sz w:val="30"/>
          <w:szCs w:val="30"/>
        </w:rPr>
      </w:pPr>
      <w:r>
        <w:rPr>
          <w:rFonts w:hint="eastAsia" w:ascii="Times New Roman" w:hAnsi="Times New Roman"/>
          <w:b/>
          <w:bCs/>
          <w:sz w:val="24"/>
        </w:rPr>
        <w:t>202</w:t>
      </w:r>
      <w:r>
        <w:rPr>
          <w:rFonts w:ascii="Times New Roman" w:hAnsi="Times New Roman"/>
          <w:b/>
          <w:bCs/>
          <w:sz w:val="24"/>
        </w:rPr>
        <w:t>3</w:t>
      </w:r>
      <w:r>
        <w:rPr>
          <w:rFonts w:hint="eastAsia" w:ascii="Times New Roman" w:hAnsi="Times New Roman"/>
          <w:b/>
          <w:bCs/>
          <w:sz w:val="24"/>
        </w:rPr>
        <w:t>年4月2</w:t>
      </w:r>
      <w:r>
        <w:rPr>
          <w:rFonts w:hint="eastAsia" w:ascii="Times New Roman" w:hAnsi="Times New Roman"/>
          <w:b/>
          <w:bCs/>
          <w:sz w:val="24"/>
          <w:lang w:val="en-US" w:eastAsia="zh-CN"/>
        </w:rPr>
        <w:t>8</w:t>
      </w:r>
      <w:r>
        <w:rPr>
          <w:rFonts w:hint="eastAsia" w:ascii="Times New Roman" w:hAnsi="Times New Roman"/>
          <w:b/>
          <w:bCs/>
          <w:sz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NjFmM2ZlZTc5NTgzMDc3YjFkOWRjNjQ2ZDJhOGIifQ=="/>
  </w:docVars>
  <w:rsids>
    <w:rsidRoot w:val="007A0068"/>
    <w:rsid w:val="000A4158"/>
    <w:rsid w:val="000E46FB"/>
    <w:rsid w:val="001353BA"/>
    <w:rsid w:val="002A449A"/>
    <w:rsid w:val="002F6141"/>
    <w:rsid w:val="0046214E"/>
    <w:rsid w:val="004C54BA"/>
    <w:rsid w:val="004D28BE"/>
    <w:rsid w:val="0062389D"/>
    <w:rsid w:val="006477D5"/>
    <w:rsid w:val="00680710"/>
    <w:rsid w:val="006E7D4B"/>
    <w:rsid w:val="00716EAD"/>
    <w:rsid w:val="007A0068"/>
    <w:rsid w:val="007F16DF"/>
    <w:rsid w:val="009A4026"/>
    <w:rsid w:val="00A10C12"/>
    <w:rsid w:val="00BE7E7E"/>
    <w:rsid w:val="00C365AA"/>
    <w:rsid w:val="00C616A2"/>
    <w:rsid w:val="00CF4764"/>
    <w:rsid w:val="00D975FC"/>
    <w:rsid w:val="00DE3211"/>
    <w:rsid w:val="00DF07AD"/>
    <w:rsid w:val="00E65C3D"/>
    <w:rsid w:val="00EC41C4"/>
    <w:rsid w:val="00ED47FE"/>
    <w:rsid w:val="00F1037A"/>
    <w:rsid w:val="00F809CA"/>
    <w:rsid w:val="00FB2574"/>
    <w:rsid w:val="013A2B4F"/>
    <w:rsid w:val="09467D4A"/>
    <w:rsid w:val="0B0A76D2"/>
    <w:rsid w:val="15043EF9"/>
    <w:rsid w:val="1FFB267A"/>
    <w:rsid w:val="27F00EFD"/>
    <w:rsid w:val="441C147F"/>
    <w:rsid w:val="49FFEE88"/>
    <w:rsid w:val="4D22559D"/>
    <w:rsid w:val="5FBE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页眉 Char"/>
    <w:basedOn w:val="9"/>
    <w:link w:val="5"/>
    <w:qFormat/>
    <w:uiPriority w:val="0"/>
    <w:rPr>
      <w:rFonts w:ascii="Calibri" w:hAnsi="Calibri" w:eastAsia="宋体" w:cs="宋体"/>
      <w:kern w:val="2"/>
      <w:sz w:val="18"/>
      <w:szCs w:val="18"/>
    </w:rPr>
  </w:style>
  <w:style w:type="character" w:customStyle="1" w:styleId="12">
    <w:name w:val="页脚 Char"/>
    <w:basedOn w:val="9"/>
    <w:link w:val="4"/>
    <w:qFormat/>
    <w:uiPriority w:val="99"/>
    <w:rPr>
      <w:rFonts w:ascii="Calibri" w:hAnsi="Calibri" w:eastAsia="宋体" w:cs="宋体"/>
      <w:kern w:val="2"/>
      <w:sz w:val="18"/>
      <w:szCs w:val="18"/>
    </w:rPr>
  </w:style>
  <w:style w:type="character" w:customStyle="1" w:styleId="13">
    <w:name w:val="批注框文本 Char"/>
    <w:basedOn w:val="9"/>
    <w:link w:val="3"/>
    <w:qFormat/>
    <w:uiPriority w:val="0"/>
    <w:rPr>
      <w:rFonts w:ascii="Calibri" w:hAnsi="Calibri" w:eastAsia="宋体" w:cs="宋体"/>
      <w:kern w:val="2"/>
      <w:sz w:val="18"/>
      <w:szCs w:val="18"/>
    </w:rPr>
  </w:style>
  <w:style w:type="character" w:customStyle="1" w:styleId="14">
    <w:name w:val="批注文字 Char"/>
    <w:basedOn w:val="9"/>
    <w:link w:val="2"/>
    <w:qFormat/>
    <w:uiPriority w:val="0"/>
    <w:rPr>
      <w:rFonts w:ascii="Calibri" w:hAnsi="Calibri" w:eastAsia="宋体" w:cs="宋体"/>
      <w:kern w:val="2"/>
      <w:sz w:val="21"/>
      <w:szCs w:val="24"/>
    </w:rPr>
  </w:style>
  <w:style w:type="character" w:customStyle="1" w:styleId="15">
    <w:name w:val="批注主题 Char"/>
    <w:basedOn w:val="14"/>
    <w:link w:val="6"/>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2</Pages>
  <Words>589</Words>
  <Characters>712</Characters>
  <Lines>5</Lines>
  <Paragraphs>1</Paragraphs>
  <TotalTime>1</TotalTime>
  <ScaleCrop>false</ScaleCrop>
  <LinksUpToDate>false</LinksUpToDate>
  <CharactersWithSpaces>740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2023-01-06T02:25:00Z</dcterms:created>
  <dc:creator>张含</dc:creator>
  <cp:lastModifiedBy>张懿聪</cp:lastModifiedBy>
  <cp:lastPrinted>2022-07-13T16:55:00Z</cp:lastPrinted>
  <dcterms:modified xsi:type="dcterms:W3CDTF">2023-04-28T01:04:22Z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D4B846971C444F4AB442C0042E367CB0</vt:lpwstr>
  </property>
</Properties>
</file>