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ind w:right="-57" w:rightChars="-27"/>
        <w:jc w:val="center"/>
        <w:rPr>
          <w:rFonts w:hint="default" w:ascii="方正小标宋简体" w:hAnsi="方正小标宋简体" w:cs="方正小标宋简体" w:eastAsiaTheme="minorEastAsia"/>
          <w:sz w:val="36"/>
          <w:szCs w:val="36"/>
          <w:lang w:val="en-US" w:eastAsia="zh-CN"/>
        </w:rPr>
      </w:pPr>
      <w:r>
        <w:rPr>
          <w:rFonts w:ascii="Times New Roman" w:hAnsi="Times New Roman"/>
          <w:b/>
          <w:bCs/>
          <w:szCs w:val="21"/>
        </w:rPr>
        <w:t>证券代码：001289        证券简称：</w:t>
      </w:r>
      <w:r>
        <w:rPr>
          <w:rFonts w:hint="eastAsia" w:ascii="Times New Roman" w:hAnsi="Times New Roman"/>
          <w:b/>
          <w:bCs/>
          <w:szCs w:val="21"/>
        </w:rPr>
        <w:t>龙源电力</w:t>
      </w:r>
      <w:r>
        <w:rPr>
          <w:rFonts w:ascii="Times New Roman" w:hAnsi="Times New Roman"/>
          <w:b/>
          <w:bCs/>
          <w:szCs w:val="21"/>
        </w:rPr>
        <w:t xml:space="preserve">        公告编号：</w:t>
      </w:r>
      <w:r>
        <w:rPr>
          <w:rFonts w:hint="eastAsia" w:ascii="Times New Roman" w:hAnsi="Times New Roman"/>
          <w:b/>
          <w:bCs/>
          <w:szCs w:val="21"/>
          <w:highlight w:val="none"/>
        </w:rPr>
        <w:t>202</w:t>
      </w:r>
      <w:r>
        <w:rPr>
          <w:rFonts w:ascii="Times New Roman" w:hAnsi="Times New Roman"/>
          <w:b/>
          <w:bCs/>
          <w:szCs w:val="21"/>
          <w:highlight w:val="none"/>
        </w:rPr>
        <w:t>2</w:t>
      </w:r>
      <w:r>
        <w:rPr>
          <w:rFonts w:hint="eastAsia" w:ascii="Times New Roman" w:hAnsi="Times New Roman"/>
          <w:b/>
          <w:bCs/>
          <w:szCs w:val="21"/>
          <w:highlight w:val="none"/>
        </w:rPr>
        <w:t>-0</w:t>
      </w:r>
      <w:r>
        <w:rPr>
          <w:rFonts w:hint="eastAsia" w:ascii="Times New Roman" w:hAnsi="Times New Roman"/>
          <w:b/>
          <w:bCs/>
          <w:szCs w:val="21"/>
          <w:highlight w:val="none"/>
          <w:lang w:val="en-US" w:eastAsia="zh-CN"/>
        </w:rPr>
        <w:t>62</w:t>
      </w:r>
    </w:p>
    <w:p>
      <w:pPr>
        <w:widowControl/>
        <w:autoSpaceDE w:val="0"/>
        <w:autoSpaceDN w:val="0"/>
        <w:spacing w:after="156" w:afterLines="50" w:line="360" w:lineRule="auto"/>
        <w:jc w:val="center"/>
        <w:outlineLvl w:val="0"/>
        <w:rPr>
          <w:rFonts w:hint="eastAsia" w:ascii="Times New Roman" w:hAnsi="Times New Roman" w:eastAsia="宋体" w:cs="Times New Roman"/>
          <w:b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28"/>
          <w:szCs w:val="28"/>
        </w:rPr>
        <w:t>龙源电力集团股份有限公司</w:t>
      </w:r>
    </w:p>
    <w:p>
      <w:pPr>
        <w:widowControl/>
        <w:autoSpaceDE w:val="0"/>
        <w:autoSpaceDN w:val="0"/>
        <w:spacing w:after="156" w:afterLines="50" w:line="360" w:lineRule="auto"/>
        <w:jc w:val="center"/>
        <w:outlineLvl w:val="0"/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419735</wp:posOffset>
                </wp:positionV>
                <wp:extent cx="5429250" cy="676275"/>
                <wp:effectExtent l="4445" t="4445" r="14605" b="508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ind w:firstLine="422" w:firstLineChars="200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本公司及董事会全体成员保证信息披露内容真实、准确和完整，没有虚假记载、误导性陈述或者重大遗漏。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95pt;margin-top:33.05pt;height:53.25pt;width:427.5pt;z-index:251659264;v-text-anchor:middle;mso-width-relative:page;mso-height-relative:page;" fillcolor="#FFFFFF" filled="t" stroked="t" coordsize="21600,21600" o:gfxdata="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cnqRK2gAAAAkBAAAPAAAAAAAAAAEAIAAAACIA&#10;AABkcnMvZG93bnJldi54bWxQSwECFAAUAAAACACHTuJAWMRykkACAACMBAAADgAAAAAAAAABACAA&#10;AAAp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60" w:lineRule="auto"/>
                        <w:ind w:firstLine="422" w:firstLineChars="200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本公司及董事会全体成员保证信息披露内容真实、准确和完整，没有虚假记载、误导性陈述或者重大遗漏。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28"/>
          <w:szCs w:val="28"/>
          <w:lang w:val="en-US" w:eastAsia="zh-CN"/>
        </w:rPr>
        <w:t>2022年10月发电量数据公告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pacing w:before="156" w:beforeLines="50" w:line="360" w:lineRule="auto"/>
        <w:rPr>
          <w:rFonts w:ascii="Times New Roman" w:hAnsi="Times New Roman" w:eastAsia="宋体" w:cs="Times New Roman"/>
          <w:b/>
          <w:bCs/>
          <w:sz w:val="24"/>
        </w:rPr>
      </w:pPr>
    </w:p>
    <w:p>
      <w:pPr>
        <w:widowControl/>
        <w:spacing w:before="156" w:beforeLines="50" w:line="360" w:lineRule="auto"/>
        <w:ind w:firstLine="480" w:firstLineChars="200"/>
        <w:rPr>
          <w:rFonts w:hint="eastAsia" w:ascii="Times New Roman" w:hAnsi="Times New Roman" w:cs="Times New Roman"/>
          <w:bCs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cs="Times New Roman"/>
          <w:bCs/>
          <w:color w:val="000000"/>
          <w:kern w:val="0"/>
          <w:sz w:val="24"/>
          <w:lang w:val="en-US" w:eastAsia="zh-CN"/>
        </w:rPr>
        <w:t>龙源电力集团股份有限公司（“本公司”）2022年10月按合并报表口径完成发电量6,122,329兆瓦时，较2021年同期同比增长20.51%。其中，风电发电量增长21.96%，火电发电量增长3.79%，其他可再生能源发电量增长91.62%。截至2022年10月31日，本公司2022年累计完成发电量57,575,791兆瓦时，较2021年同期同比增长12.70%。其中，风电发电量增14.50%，火电发电量下降2.26%，其他可再生能源发电量增长87.59%。</w:t>
      </w:r>
      <w:bookmarkStart w:id="0" w:name="_GoBack"/>
      <w:bookmarkEnd w:id="0"/>
    </w:p>
    <w:p>
      <w:pPr>
        <w:widowControl/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bCs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cs="Times New Roman"/>
          <w:bCs/>
          <w:color w:val="000000"/>
          <w:kern w:val="0"/>
          <w:sz w:val="24"/>
          <w:lang w:val="en-US" w:eastAsia="zh-CN"/>
        </w:rPr>
        <w:t>2022年10月发电量详情如下：</w:t>
      </w:r>
    </w:p>
    <w:tbl>
      <w:tblPr>
        <w:tblStyle w:val="2"/>
        <w:tblW w:w="589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3"/>
        <w:gridCol w:w="1230"/>
        <w:gridCol w:w="1282"/>
        <w:gridCol w:w="988"/>
        <w:gridCol w:w="1419"/>
        <w:gridCol w:w="1425"/>
        <w:gridCol w:w="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业务板块及地区分布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（兆瓦时）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（兆瓦时）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月同比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变化率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（%）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累计发电量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（兆瓦时）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2021年同期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累计发电量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（兆瓦时）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年累计发电量同比变化率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风电业务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5,245,305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4,300,851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21.96 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47,323,611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41,331,712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其中：黑龙江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286,147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244,988 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16.80 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2,542,391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2,223,775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172,730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152,173 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13.51 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1,613,942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1,152,037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338,289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157,456 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114.85 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2,552,272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1,900,022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585,145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428,770 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36.47 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5,381,960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5,158,711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江苏陆上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191,118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228,107 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-16.22 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1,933,569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2,307,147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江苏海上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445,054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334,459 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33.07 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4,462,128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3,415,651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46,052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36,460 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26.31 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308,673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315,950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519,111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360,642 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43.94 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2,775,025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2,084,451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21,400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26,180 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-18.26 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109,781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103,448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291,180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283,335 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2,731,758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2,460,511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317,114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316,925 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3,391,941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3,272,706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327,172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290,100 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12.78 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3,128,125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2,667,051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137,616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176,957 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-22.23 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2,101,039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1,899,060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172,960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148,969 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16.10 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1,445,601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1,632,486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102,860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98,707 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4.21 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1,048,937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1,038,095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86,834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46,724 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85.84 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819,045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522,063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154,491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144,462 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6.94 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1,855,698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1,882,239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104,965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117,233 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-10.46 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1,259,460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1,409,669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150,792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132,622 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13.70 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1,261,789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1,231,627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154,059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74,669 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106.32 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1,416,222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900,208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875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1,651 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-47.00 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10,886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12,474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70,934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61,448 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15.44 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574,034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620,756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10,926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11,177 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-2.25 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93,305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100,568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34,270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28,373 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20.78 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248,880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227,920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88,533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87,832 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562,458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504,844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199,693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80,538 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147.95 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1,535,443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410,187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274.33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45,560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45,473 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0.19 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386,420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358,897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26,852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26,817 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190,161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186,161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21,118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14,788 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42.80 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239,321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205,069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36,573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36,802 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-0.62 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372,961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272,720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加拿大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24,243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21,398 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13.30 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220,766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205,469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南非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61,682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84,614 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-27.10 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550,334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649,742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乌克兰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18,956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199,286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火电业务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728,959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702,316 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3.79 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8,756,737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8,959,657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其他可再生能源业务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148,066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77,270 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91.62 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1,495,442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797,194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6,122,329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5,080,437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20.51 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57,575,791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51,088,563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12.70 </w:t>
            </w:r>
          </w:p>
        </w:tc>
      </w:tr>
    </w:tbl>
    <w:p>
      <w:pPr>
        <w:widowControl/>
        <w:spacing w:before="156" w:beforeLines="50"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注：本公告中提供的数字经过整数调整，因此若总计数字与所列各项之和出现尾数差异，皆因整数调整所致。</w:t>
      </w:r>
    </w:p>
    <w:p>
      <w:pPr>
        <w:widowControl/>
        <w:spacing w:before="156" w:before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以上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发电量</w:t>
      </w:r>
      <w:r>
        <w:rPr>
          <w:rFonts w:ascii="宋体" w:hAnsi="宋体" w:eastAsia="宋体" w:cs="宋体"/>
          <w:sz w:val="24"/>
          <w:szCs w:val="24"/>
        </w:rPr>
        <w:t>数据来自本公司内部统计。数据在月度之间可能存在较大差异，其影响因素包括但不限于天气变化、设备检修、季节性因素和安全检查等。数据可能与相关期间定期报告披露的数据有差异。投资者应注意不恰当信赖或使用以上信息可能造成投资风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widowControl/>
        <w:spacing w:before="156" w:beforeLines="50"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4060" w:firstLineChars="1692"/>
        <w:jc w:val="right"/>
        <w:outlineLvl w:val="0"/>
        <w:rPr>
          <w:rFonts w:ascii="Times New Roman" w:hAnsi="Times New Roman"/>
          <w:b/>
          <w:bCs/>
        </w:rPr>
      </w:pPr>
      <w:r>
        <w:rPr>
          <w:rFonts w:hint="eastAsia" w:ascii="Times New Roman" w:hAnsi="Times New Roman" w:cs="Times New Roman"/>
          <w:bCs/>
          <w:color w:val="000000"/>
          <w:kern w:val="0"/>
          <w:sz w:val="24"/>
          <w:lang w:val="en-US" w:eastAsia="zh-CN"/>
        </w:rPr>
        <w:t xml:space="preserve">    </w:t>
      </w:r>
      <w:r>
        <w:rPr>
          <w:rFonts w:hint="eastAsia" w:ascii="Times New Roman" w:hAnsi="Times New Roman"/>
          <w:b/>
          <w:bCs/>
          <w:sz w:val="24"/>
        </w:rPr>
        <w:t>龙源电力集团股份有限公司</w:t>
      </w:r>
    </w:p>
    <w:p>
      <w:pPr>
        <w:wordWrap w:val="0"/>
        <w:spacing w:line="360" w:lineRule="auto"/>
        <w:ind w:firstLine="4077" w:firstLineChars="1692"/>
        <w:jc w:val="right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</w:rPr>
        <w:t xml:space="preserve">董  事  会        </w:t>
      </w:r>
    </w:p>
    <w:p>
      <w:pPr>
        <w:spacing w:before="50" w:after="50" w:line="360" w:lineRule="auto"/>
        <w:ind w:right="482"/>
        <w:jc w:val="center"/>
        <w:outlineLvl w:val="0"/>
        <w:rPr>
          <w:rFonts w:hint="default" w:ascii="Times New Roman" w:hAnsi="Times New Roman" w:cs="Times New Roman"/>
          <w:bCs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/>
          <w:b/>
          <w:bCs/>
          <w:sz w:val="24"/>
          <w:lang w:val="en-US" w:eastAsia="zh-CN"/>
        </w:rPr>
        <w:t xml:space="preserve">                                                </w:t>
      </w:r>
      <w:r>
        <w:rPr>
          <w:rFonts w:ascii="Times New Roman" w:hAnsi="Times New Roman"/>
          <w:b/>
          <w:bCs/>
          <w:sz w:val="24"/>
        </w:rPr>
        <w:t>2022年</w:t>
      </w:r>
      <w:r>
        <w:rPr>
          <w:rFonts w:hint="eastAsia" w:ascii="Times New Roman" w:hAnsi="Times New Roman"/>
          <w:b/>
          <w:bCs/>
          <w:sz w:val="24"/>
          <w:lang w:val="en-US" w:eastAsia="zh-CN"/>
        </w:rPr>
        <w:t>11</w:t>
      </w:r>
      <w:r>
        <w:rPr>
          <w:rFonts w:ascii="Times New Roman" w:hAnsi="Times New Roman"/>
          <w:b/>
          <w:bCs/>
          <w:sz w:val="24"/>
        </w:rPr>
        <w:t>月</w:t>
      </w:r>
      <w:r>
        <w:rPr>
          <w:rFonts w:hint="eastAsia" w:ascii="Times New Roman" w:hAnsi="Times New Roman"/>
          <w:b/>
          <w:bCs/>
          <w:sz w:val="24"/>
          <w:lang w:val="en-US" w:eastAsia="zh-CN"/>
        </w:rPr>
        <w:t>11</w:t>
      </w:r>
      <w:r>
        <w:rPr>
          <w:rFonts w:ascii="Times New Roman" w:hAnsi="Times New Roman"/>
          <w:b/>
          <w:bCs/>
          <w:sz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E4BDF"/>
    <w:rsid w:val="04EF4D28"/>
    <w:rsid w:val="07125F5D"/>
    <w:rsid w:val="072766C1"/>
    <w:rsid w:val="09754455"/>
    <w:rsid w:val="099D3AE7"/>
    <w:rsid w:val="0E9F0074"/>
    <w:rsid w:val="11674829"/>
    <w:rsid w:val="117450BC"/>
    <w:rsid w:val="122B3102"/>
    <w:rsid w:val="1397611F"/>
    <w:rsid w:val="183C0A44"/>
    <w:rsid w:val="19545D44"/>
    <w:rsid w:val="1B075BF2"/>
    <w:rsid w:val="1B4D516F"/>
    <w:rsid w:val="1BA261C3"/>
    <w:rsid w:val="1FC512B3"/>
    <w:rsid w:val="23B95628"/>
    <w:rsid w:val="25D01FAB"/>
    <w:rsid w:val="266658C8"/>
    <w:rsid w:val="2BEB6221"/>
    <w:rsid w:val="2FF97841"/>
    <w:rsid w:val="32B46F1B"/>
    <w:rsid w:val="34AF3594"/>
    <w:rsid w:val="35CB6E91"/>
    <w:rsid w:val="36F14320"/>
    <w:rsid w:val="371C1781"/>
    <w:rsid w:val="377D7A40"/>
    <w:rsid w:val="3C9C3057"/>
    <w:rsid w:val="3DFC4BC0"/>
    <w:rsid w:val="3EDD001F"/>
    <w:rsid w:val="406D7953"/>
    <w:rsid w:val="410822B0"/>
    <w:rsid w:val="423A7D8C"/>
    <w:rsid w:val="42C95B28"/>
    <w:rsid w:val="436E4F7B"/>
    <w:rsid w:val="466E3802"/>
    <w:rsid w:val="468A5630"/>
    <w:rsid w:val="484C04C1"/>
    <w:rsid w:val="4A191A76"/>
    <w:rsid w:val="4B1B5098"/>
    <w:rsid w:val="4BD25550"/>
    <w:rsid w:val="4BF16E81"/>
    <w:rsid w:val="4D1C0BAE"/>
    <w:rsid w:val="507E4BDF"/>
    <w:rsid w:val="50AD135C"/>
    <w:rsid w:val="52F628E2"/>
    <w:rsid w:val="54B832A2"/>
    <w:rsid w:val="54E23ACC"/>
    <w:rsid w:val="56163A71"/>
    <w:rsid w:val="57593A9F"/>
    <w:rsid w:val="57F4154F"/>
    <w:rsid w:val="590266FB"/>
    <w:rsid w:val="59EE7BAD"/>
    <w:rsid w:val="5BC34641"/>
    <w:rsid w:val="5C3A381A"/>
    <w:rsid w:val="5E644C39"/>
    <w:rsid w:val="5E854E7C"/>
    <w:rsid w:val="5EBD2BE6"/>
    <w:rsid w:val="5F274216"/>
    <w:rsid w:val="5F483B58"/>
    <w:rsid w:val="5F662DCE"/>
    <w:rsid w:val="637E508B"/>
    <w:rsid w:val="63F11735"/>
    <w:rsid w:val="6651553C"/>
    <w:rsid w:val="69913C26"/>
    <w:rsid w:val="69B61CF4"/>
    <w:rsid w:val="6A596BF2"/>
    <w:rsid w:val="703F6AAC"/>
    <w:rsid w:val="73A119EE"/>
    <w:rsid w:val="78651B87"/>
    <w:rsid w:val="7A4211AE"/>
    <w:rsid w:val="7ABB77F7"/>
    <w:rsid w:val="7C264CF7"/>
    <w:rsid w:val="7E3F3EEC"/>
    <w:rsid w:val="7ECB26D2"/>
    <w:rsid w:val="7F3C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752</Words>
  <Characters>2003</Characters>
  <Lines>0</Lines>
  <Paragraphs>0</Paragraphs>
  <TotalTime>8</TotalTime>
  <ScaleCrop>false</ScaleCrop>
  <LinksUpToDate>false</LinksUpToDate>
  <CharactersWithSpaces>2256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2022-01-24T07:06:00Z</dcterms:created>
  <dc:creator>林俐瑶01</dc:creator>
  <cp:lastModifiedBy>刘彦君02</cp:lastModifiedBy>
  <cp:lastPrinted>2022-11-08T07:06:51Z</cp:lastPrinted>
  <dcterms:modified xsi:type="dcterms:W3CDTF">2022-11-08T07:06:54Z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DDAD7EBB80F6408A8C929100A57FB53E</vt:lpwstr>
  </property>
</Properties>
</file>